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FF71" w14:textId="77777777" w:rsidR="004A5156" w:rsidRDefault="004A5156" w:rsidP="004A5156">
      <w:pPr>
        <w:pStyle w:val="SemEspaamento"/>
        <w:ind w:firstLine="1134"/>
        <w:rPr>
          <w:b/>
          <w:sz w:val="28"/>
          <w:szCs w:val="28"/>
        </w:rPr>
      </w:pPr>
      <w:bookmarkStart w:id="0" w:name="OLE_LINK15"/>
      <w:bookmarkStart w:id="1" w:name="OLE_LINK1"/>
      <w:r>
        <w:rPr>
          <w:b/>
          <w:sz w:val="28"/>
          <w:szCs w:val="28"/>
        </w:rPr>
        <w:t>PEDIDO DE INDICAÇÃO Nº 60/2025</w:t>
      </w:r>
    </w:p>
    <w:p w14:paraId="520B915A" w14:textId="77777777" w:rsidR="004A5156" w:rsidRDefault="004A5156" w:rsidP="004A5156">
      <w:pPr>
        <w:pStyle w:val="SemEspaamento"/>
        <w:ind w:firstLine="1134"/>
        <w:rPr>
          <w:b/>
          <w:sz w:val="28"/>
          <w:szCs w:val="28"/>
        </w:rPr>
      </w:pPr>
    </w:p>
    <w:p w14:paraId="20D41AEA" w14:textId="77777777" w:rsidR="004A5156" w:rsidRDefault="004A5156" w:rsidP="004A5156">
      <w:pPr>
        <w:pStyle w:val="SemEspaamento"/>
        <w:ind w:firstLine="1134"/>
        <w:rPr>
          <w:b/>
          <w:sz w:val="28"/>
          <w:szCs w:val="28"/>
        </w:rPr>
      </w:pPr>
    </w:p>
    <w:p w14:paraId="04194818" w14:textId="77777777" w:rsidR="004A5156" w:rsidRDefault="004A5156" w:rsidP="004A5156">
      <w:pPr>
        <w:pStyle w:val="SemEspaamento"/>
        <w:ind w:firstLine="1134"/>
        <w:rPr>
          <w:sz w:val="28"/>
          <w:szCs w:val="28"/>
        </w:rPr>
      </w:pPr>
      <w:r>
        <w:rPr>
          <w:sz w:val="28"/>
          <w:szCs w:val="28"/>
        </w:rPr>
        <w:t>Senhores Vereadores,</w:t>
      </w:r>
    </w:p>
    <w:p w14:paraId="58EF8653" w14:textId="77777777" w:rsidR="004A5156" w:rsidRDefault="004A5156" w:rsidP="004A5156">
      <w:pPr>
        <w:pStyle w:val="SemEspaamento"/>
        <w:ind w:firstLine="1134"/>
        <w:jc w:val="both"/>
        <w:rPr>
          <w:sz w:val="28"/>
          <w:szCs w:val="28"/>
        </w:rPr>
      </w:pPr>
    </w:p>
    <w:p w14:paraId="78011489" w14:textId="77777777" w:rsidR="004A5156" w:rsidRDefault="004A5156" w:rsidP="004A5156">
      <w:pPr>
        <w:pStyle w:val="SemEspaamento"/>
        <w:ind w:firstLine="1134"/>
        <w:jc w:val="both"/>
        <w:rPr>
          <w:sz w:val="28"/>
          <w:szCs w:val="28"/>
        </w:rPr>
      </w:pPr>
      <w:r>
        <w:rPr>
          <w:sz w:val="28"/>
          <w:szCs w:val="28"/>
        </w:rPr>
        <w:t xml:space="preserve">Os Vereadores Vinício </w:t>
      </w:r>
      <w:proofErr w:type="spellStart"/>
      <w:r>
        <w:rPr>
          <w:sz w:val="28"/>
          <w:szCs w:val="28"/>
        </w:rPr>
        <w:t>Reinelli</w:t>
      </w:r>
      <w:proofErr w:type="spellEnd"/>
      <w:r>
        <w:rPr>
          <w:sz w:val="28"/>
          <w:szCs w:val="28"/>
        </w:rPr>
        <w:t xml:space="preserve"> e Adriana </w:t>
      </w:r>
      <w:proofErr w:type="spellStart"/>
      <w:r>
        <w:rPr>
          <w:sz w:val="28"/>
          <w:szCs w:val="28"/>
        </w:rPr>
        <w:t>Rizzotto</w:t>
      </w:r>
      <w:proofErr w:type="spellEnd"/>
      <w:r>
        <w:rPr>
          <w:sz w:val="28"/>
          <w:szCs w:val="28"/>
        </w:rPr>
        <w:t xml:space="preserve">, da bancada do PSD, no uso de suas atribuições legais, apresentam aos demais </w:t>
      </w:r>
      <w:r w:rsidR="00C23992">
        <w:rPr>
          <w:sz w:val="28"/>
          <w:szCs w:val="28"/>
        </w:rPr>
        <w:t>c</w:t>
      </w:r>
      <w:r>
        <w:rPr>
          <w:sz w:val="28"/>
          <w:szCs w:val="28"/>
        </w:rPr>
        <w:t>olegas, o pedido de Indicação a seguir que, se aprovado, deverá ser encaminhado ao Executivo Municipal.</w:t>
      </w:r>
    </w:p>
    <w:p w14:paraId="5C7DCBAC" w14:textId="77777777" w:rsidR="004A5156" w:rsidRDefault="004A5156" w:rsidP="004A5156">
      <w:pPr>
        <w:pStyle w:val="SemEspaamento"/>
        <w:ind w:firstLine="1134"/>
        <w:jc w:val="both"/>
        <w:rPr>
          <w:sz w:val="28"/>
          <w:szCs w:val="28"/>
        </w:rPr>
      </w:pPr>
    </w:p>
    <w:p w14:paraId="60FB61B8" w14:textId="77777777" w:rsidR="004A5156" w:rsidRDefault="004A5156" w:rsidP="004A5156">
      <w:pPr>
        <w:pStyle w:val="SemEspaamento"/>
        <w:ind w:firstLine="1134"/>
        <w:jc w:val="both"/>
        <w:rPr>
          <w:sz w:val="28"/>
          <w:szCs w:val="28"/>
        </w:rPr>
      </w:pPr>
      <w:r>
        <w:rPr>
          <w:sz w:val="28"/>
          <w:szCs w:val="28"/>
        </w:rPr>
        <w:t>Solicitam que o Executivo elabore projeto de lei flexibilizando o controle da jornada de trabalho de servidores que exerçam trabalho externo.</w:t>
      </w:r>
    </w:p>
    <w:p w14:paraId="26E0C0B0" w14:textId="77777777" w:rsidR="00C23992" w:rsidRDefault="00C23992" w:rsidP="004A5156">
      <w:pPr>
        <w:pStyle w:val="SemEspaamento"/>
        <w:ind w:firstLine="1134"/>
        <w:jc w:val="both"/>
        <w:rPr>
          <w:sz w:val="28"/>
          <w:szCs w:val="28"/>
        </w:rPr>
      </w:pPr>
    </w:p>
    <w:p w14:paraId="174CE88C" w14:textId="77777777" w:rsidR="004A5156" w:rsidRDefault="004A5156" w:rsidP="004A5156">
      <w:pPr>
        <w:pStyle w:val="SemEspaamento"/>
        <w:ind w:firstLine="1134"/>
        <w:jc w:val="both"/>
        <w:rPr>
          <w:sz w:val="28"/>
          <w:szCs w:val="28"/>
        </w:rPr>
      </w:pPr>
      <w:r>
        <w:rPr>
          <w:sz w:val="28"/>
          <w:szCs w:val="28"/>
        </w:rPr>
        <w:t>Como exemplos de servidores que exercem atividade externa temos os Agentes comunitários de Saúde, os agentes de controle de endemias, os operadores de máquinas e motoristas.</w:t>
      </w:r>
    </w:p>
    <w:p w14:paraId="7C81F6B5" w14:textId="77777777" w:rsidR="004A5156" w:rsidRDefault="004A5156" w:rsidP="004A5156">
      <w:pPr>
        <w:pStyle w:val="SemEspaamento"/>
        <w:ind w:firstLine="1134"/>
        <w:jc w:val="both"/>
        <w:rPr>
          <w:sz w:val="28"/>
          <w:szCs w:val="28"/>
        </w:rPr>
      </w:pPr>
    </w:p>
    <w:p w14:paraId="20E27245" w14:textId="77777777" w:rsidR="004A5156" w:rsidRDefault="004A5156" w:rsidP="004A5156">
      <w:pPr>
        <w:pStyle w:val="SemEspaamento"/>
        <w:ind w:firstLine="1134"/>
        <w:jc w:val="both"/>
        <w:rPr>
          <w:sz w:val="28"/>
          <w:szCs w:val="28"/>
        </w:rPr>
      </w:pPr>
      <w:r>
        <w:rPr>
          <w:sz w:val="28"/>
          <w:szCs w:val="28"/>
        </w:rPr>
        <w:t>JUSTIFICATIVA:</w:t>
      </w:r>
    </w:p>
    <w:p w14:paraId="2A4685ED" w14:textId="77777777" w:rsidR="004A5156" w:rsidRDefault="004A5156" w:rsidP="004A5156">
      <w:pPr>
        <w:pStyle w:val="SemEspaamento"/>
        <w:ind w:firstLine="1134"/>
        <w:jc w:val="both"/>
        <w:rPr>
          <w:sz w:val="28"/>
          <w:szCs w:val="28"/>
        </w:rPr>
      </w:pPr>
    </w:p>
    <w:p w14:paraId="6E8CAC29" w14:textId="77777777" w:rsidR="004A5156" w:rsidRDefault="004A5156" w:rsidP="004A5156">
      <w:pPr>
        <w:pStyle w:val="SemEspaamento"/>
        <w:ind w:firstLine="1134"/>
        <w:jc w:val="both"/>
        <w:rPr>
          <w:sz w:val="28"/>
          <w:szCs w:val="28"/>
        </w:rPr>
      </w:pPr>
      <w:r>
        <w:rPr>
          <w:sz w:val="28"/>
          <w:szCs w:val="28"/>
        </w:rPr>
        <w:t>Essa indicação de flexibilização da forma como a jornada de trabalho dos servidores que ativam em trabalho externo tem por objetivo a melhoria da qualidade das condições de trabalho.</w:t>
      </w:r>
    </w:p>
    <w:p w14:paraId="25B5A3A5" w14:textId="77777777" w:rsidR="004A5156" w:rsidRDefault="004A5156" w:rsidP="004A5156">
      <w:pPr>
        <w:pStyle w:val="SemEspaamento"/>
        <w:ind w:firstLine="1134"/>
        <w:jc w:val="both"/>
        <w:rPr>
          <w:sz w:val="28"/>
          <w:szCs w:val="28"/>
        </w:rPr>
      </w:pPr>
      <w:r>
        <w:rPr>
          <w:sz w:val="28"/>
          <w:szCs w:val="28"/>
        </w:rPr>
        <w:t>Atualmente existem diversas formas de controle da jornada dos servidores. Algumas jornadas podem ser controladas por aplicativos de celular, por compartilhamento de informações sem que seja necessário que o início da jornada seja ativado ou encerrado dentro da estrutura física da unidade administrativa.</w:t>
      </w:r>
    </w:p>
    <w:p w14:paraId="4453C96F" w14:textId="77777777" w:rsidR="004A5156" w:rsidRDefault="004A5156" w:rsidP="004A5156">
      <w:pPr>
        <w:pStyle w:val="SemEspaamento"/>
        <w:ind w:firstLine="1134"/>
        <w:jc w:val="both"/>
        <w:rPr>
          <w:sz w:val="28"/>
          <w:szCs w:val="28"/>
        </w:rPr>
      </w:pPr>
      <w:r>
        <w:rPr>
          <w:sz w:val="28"/>
          <w:szCs w:val="28"/>
        </w:rPr>
        <w:t>Na esfera privada há exemplos de atividades externas exercidas por trabalhadores que estão dispensadas do controle da jornada. Exemplos disso são os trabalhadores com contratos de trabalho regidos pelo Artigo 62, inciso I da CLT.</w:t>
      </w:r>
    </w:p>
    <w:p w14:paraId="5D636EA8" w14:textId="77777777" w:rsidR="004A5156" w:rsidRDefault="004A5156" w:rsidP="004A5156">
      <w:pPr>
        <w:pStyle w:val="SemEspaamento"/>
        <w:ind w:firstLine="1134"/>
        <w:jc w:val="both"/>
        <w:rPr>
          <w:sz w:val="28"/>
          <w:szCs w:val="28"/>
        </w:rPr>
      </w:pPr>
      <w:r>
        <w:rPr>
          <w:sz w:val="28"/>
          <w:szCs w:val="28"/>
        </w:rPr>
        <w:t>Atrair para serviço públicos experiências que funcionam na prática para outras categorias profissionais, com o objetivo de proporcionar maior racionalização do tempo do servidor e qualidade de desempenho das atividades é uma prática que deve ser perseguida pelo gestor público, eis que o servidor que trabalha em melhores condições entrega melhores resultados.</w:t>
      </w:r>
    </w:p>
    <w:p w14:paraId="4A98F9DF" w14:textId="77777777" w:rsidR="004A5156" w:rsidRDefault="004A5156" w:rsidP="004A5156">
      <w:pPr>
        <w:pStyle w:val="SemEspaamento"/>
        <w:ind w:firstLine="1134"/>
        <w:jc w:val="both"/>
        <w:rPr>
          <w:sz w:val="28"/>
          <w:szCs w:val="28"/>
        </w:rPr>
      </w:pPr>
      <w:r>
        <w:rPr>
          <w:sz w:val="28"/>
          <w:szCs w:val="28"/>
        </w:rPr>
        <w:lastRenderedPageBreak/>
        <w:t>Agradecem a atenção de todos e contam com o apoio dos colegas e do Executivo para a realização desta indicação.</w:t>
      </w:r>
    </w:p>
    <w:p w14:paraId="69B6CDDB" w14:textId="77777777" w:rsidR="004A5156" w:rsidRDefault="004A5156" w:rsidP="004A5156">
      <w:pPr>
        <w:pStyle w:val="SemEspaamento"/>
        <w:ind w:firstLine="1134"/>
        <w:jc w:val="both"/>
        <w:rPr>
          <w:sz w:val="28"/>
          <w:szCs w:val="28"/>
        </w:rPr>
      </w:pPr>
    </w:p>
    <w:p w14:paraId="25042F57" w14:textId="77777777" w:rsidR="004A5156" w:rsidRDefault="004A5156" w:rsidP="004A5156">
      <w:pPr>
        <w:pStyle w:val="SemEspaamento"/>
        <w:ind w:firstLine="1134"/>
        <w:jc w:val="right"/>
        <w:rPr>
          <w:sz w:val="28"/>
          <w:szCs w:val="28"/>
        </w:rPr>
      </w:pPr>
      <w:r>
        <w:rPr>
          <w:sz w:val="28"/>
          <w:szCs w:val="28"/>
        </w:rPr>
        <w:t>Nova Prata, 30 de maio de 2025.</w:t>
      </w:r>
    </w:p>
    <w:p w14:paraId="2C98DBD9" w14:textId="77777777" w:rsidR="004A5156" w:rsidRDefault="004A5156" w:rsidP="004A5156">
      <w:pPr>
        <w:pStyle w:val="SemEspaamento"/>
        <w:ind w:firstLine="1134"/>
        <w:jc w:val="right"/>
        <w:rPr>
          <w:sz w:val="28"/>
          <w:szCs w:val="28"/>
        </w:rPr>
      </w:pPr>
    </w:p>
    <w:p w14:paraId="7F36D2FE" w14:textId="77777777" w:rsidR="004A5156" w:rsidRDefault="004A5156" w:rsidP="004A5156">
      <w:pPr>
        <w:pStyle w:val="SemEspaamento"/>
        <w:jc w:val="both"/>
        <w:rPr>
          <w:sz w:val="28"/>
          <w:szCs w:val="28"/>
        </w:rPr>
      </w:pPr>
    </w:p>
    <w:p w14:paraId="75495F31" w14:textId="77777777" w:rsidR="004A5156" w:rsidRDefault="004A5156" w:rsidP="004A5156">
      <w:pPr>
        <w:pStyle w:val="SemEspaamento"/>
        <w:jc w:val="both"/>
        <w:rPr>
          <w:sz w:val="28"/>
          <w:szCs w:val="28"/>
        </w:rPr>
      </w:pPr>
    </w:p>
    <w:p w14:paraId="1AD5E3FF" w14:textId="77777777" w:rsidR="004A5156" w:rsidRDefault="004A5156" w:rsidP="004A5156">
      <w:pPr>
        <w:pStyle w:val="SemEspaamento"/>
        <w:jc w:val="center"/>
        <w:rPr>
          <w:sz w:val="28"/>
          <w:szCs w:val="28"/>
        </w:rPr>
      </w:pPr>
      <w:r>
        <w:rPr>
          <w:sz w:val="28"/>
          <w:szCs w:val="28"/>
        </w:rPr>
        <w:t>____________________</w:t>
      </w:r>
      <w:r>
        <w:rPr>
          <w:sz w:val="28"/>
          <w:szCs w:val="28"/>
        </w:rPr>
        <w:tab/>
      </w:r>
      <w:r>
        <w:rPr>
          <w:sz w:val="28"/>
          <w:szCs w:val="28"/>
        </w:rPr>
        <w:tab/>
      </w:r>
      <w:r>
        <w:rPr>
          <w:sz w:val="28"/>
          <w:szCs w:val="28"/>
        </w:rPr>
        <w:tab/>
      </w:r>
      <w:r>
        <w:rPr>
          <w:sz w:val="28"/>
          <w:szCs w:val="28"/>
        </w:rPr>
        <w:tab/>
      </w:r>
      <w:r>
        <w:rPr>
          <w:sz w:val="28"/>
          <w:szCs w:val="28"/>
        </w:rPr>
        <w:tab/>
        <w:t>________________________</w:t>
      </w:r>
    </w:p>
    <w:p w14:paraId="1A987798" w14:textId="77777777" w:rsidR="004A5156" w:rsidRDefault="004A5156" w:rsidP="004A5156">
      <w:pPr>
        <w:pStyle w:val="SemEspaamento"/>
        <w:rPr>
          <w:sz w:val="28"/>
          <w:szCs w:val="28"/>
        </w:rPr>
      </w:pPr>
      <w:r>
        <w:rPr>
          <w:sz w:val="28"/>
          <w:szCs w:val="28"/>
        </w:rPr>
        <w:t xml:space="preserve">Vinício </w:t>
      </w:r>
      <w:proofErr w:type="spellStart"/>
      <w:r>
        <w:rPr>
          <w:sz w:val="28"/>
          <w:szCs w:val="28"/>
        </w:rPr>
        <w:t>Reinelli</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Adriana </w:t>
      </w:r>
      <w:proofErr w:type="spellStart"/>
      <w:r>
        <w:rPr>
          <w:sz w:val="28"/>
          <w:szCs w:val="28"/>
        </w:rPr>
        <w:t>Rizzotto</w:t>
      </w:r>
      <w:proofErr w:type="spellEnd"/>
    </w:p>
    <w:p w14:paraId="6630C068" w14:textId="77777777" w:rsidR="006A0455" w:rsidRPr="004A5156" w:rsidRDefault="004A5156" w:rsidP="004A5156">
      <w:pPr>
        <w:pStyle w:val="SemEspaamento"/>
        <w:rPr>
          <w:sz w:val="28"/>
          <w:szCs w:val="28"/>
        </w:rPr>
      </w:pPr>
      <w:r>
        <w:rPr>
          <w:sz w:val="28"/>
          <w:szCs w:val="28"/>
        </w:rPr>
        <w:t xml:space="preserve">Vereador – </w:t>
      </w:r>
      <w:bookmarkEnd w:id="0"/>
      <w:r>
        <w:rPr>
          <w:sz w:val="28"/>
          <w:szCs w:val="28"/>
        </w:rPr>
        <w:t>PSD</w:t>
      </w:r>
      <w:r>
        <w:rPr>
          <w:sz w:val="28"/>
          <w:szCs w:val="28"/>
        </w:rPr>
        <w:tab/>
      </w:r>
      <w:r>
        <w:rPr>
          <w:sz w:val="28"/>
          <w:szCs w:val="28"/>
        </w:rPr>
        <w:tab/>
      </w:r>
      <w:r>
        <w:rPr>
          <w:sz w:val="28"/>
          <w:szCs w:val="28"/>
        </w:rPr>
        <w:tab/>
      </w:r>
      <w:r>
        <w:rPr>
          <w:sz w:val="28"/>
          <w:szCs w:val="28"/>
        </w:rPr>
        <w:tab/>
      </w:r>
      <w:r>
        <w:rPr>
          <w:sz w:val="28"/>
          <w:szCs w:val="28"/>
        </w:rPr>
        <w:tab/>
      </w:r>
      <w:r>
        <w:rPr>
          <w:sz w:val="28"/>
          <w:szCs w:val="28"/>
        </w:rPr>
        <w:tab/>
        <w:t>Vereador - PSD</w:t>
      </w:r>
      <w:bookmarkEnd w:id="1"/>
    </w:p>
    <w:sectPr w:rsidR="006A0455" w:rsidRPr="004A5156" w:rsidSect="00C23992">
      <w:pgSz w:w="11906" w:h="16838"/>
      <w:pgMar w:top="2836" w:right="1133"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9F"/>
    <w:rsid w:val="004A5156"/>
    <w:rsid w:val="0063529A"/>
    <w:rsid w:val="006A0455"/>
    <w:rsid w:val="00723052"/>
    <w:rsid w:val="00BD77BC"/>
    <w:rsid w:val="00C23992"/>
    <w:rsid w:val="00CA2A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C600"/>
  <w15:chartTrackingRefBased/>
  <w15:docId w15:val="{2278C5DA-56B8-40B5-8C86-3B5DFF93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A515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46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1665</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2025-05-30T18:56:00Z</dcterms:created>
  <dcterms:modified xsi:type="dcterms:W3CDTF">2025-05-30T18:56:00Z</dcterms:modified>
</cp:coreProperties>
</file>